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38"/>
        <w:gridCol w:w="3720"/>
        <w:gridCol w:w="3208"/>
        <w:gridCol w:w="3941"/>
        <w:gridCol w:w="3479"/>
      </w:tblGrid>
      <w:tr w:rsidR="00775048" w:rsidRPr="00E46829" w14:paraId="56582E87" w14:textId="77777777" w:rsidTr="00721565">
        <w:tc>
          <w:tcPr>
            <w:tcW w:w="438" w:type="dxa"/>
            <w:vMerge w:val="restart"/>
          </w:tcPr>
          <w:p w14:paraId="436C4637" w14:textId="33EFFCAF" w:rsidR="00775048" w:rsidRPr="00E46829" w:rsidRDefault="00775048">
            <w:pPr>
              <w:rPr>
                <w:rFonts w:ascii="Times New Roman" w:hAnsi="Times New Roman" w:cs="Times New Roman"/>
                <w:b/>
              </w:rPr>
            </w:pPr>
            <w:r w:rsidRPr="00E468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20" w:type="dxa"/>
            <w:vMerge w:val="restart"/>
          </w:tcPr>
          <w:p w14:paraId="2BCE93AF" w14:textId="77777777" w:rsidR="00775048" w:rsidRPr="00E46829" w:rsidRDefault="00775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628" w:type="dxa"/>
            <w:gridSpan w:val="3"/>
          </w:tcPr>
          <w:p w14:paraId="2F046309" w14:textId="00441E2C" w:rsidR="00775048" w:rsidRPr="00E46829" w:rsidRDefault="00775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функциональным, техническим и качественным характеристикам товара</w:t>
            </w:r>
            <w:r w:rsidR="00FE1F72" w:rsidRPr="00E46829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21ADF" w:rsidRPr="00E46829" w14:paraId="7680EC67" w14:textId="4518CDEA" w:rsidTr="009E11A2">
        <w:tc>
          <w:tcPr>
            <w:tcW w:w="438" w:type="dxa"/>
            <w:vMerge/>
          </w:tcPr>
          <w:p w14:paraId="0FFDDE37" w14:textId="77777777" w:rsidR="00921ADF" w:rsidRPr="00E46829" w:rsidRDefault="00921A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  <w:vMerge/>
          </w:tcPr>
          <w:p w14:paraId="1942B069" w14:textId="77777777" w:rsidR="00921ADF" w:rsidRPr="00E46829" w:rsidRDefault="00921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2E766A1D" w14:textId="77777777" w:rsidR="00921ADF" w:rsidRPr="00E46829" w:rsidRDefault="00921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показателя, единица измерения показателя</w:t>
            </w:r>
          </w:p>
        </w:tc>
        <w:tc>
          <w:tcPr>
            <w:tcW w:w="3941" w:type="dxa"/>
          </w:tcPr>
          <w:p w14:paraId="0FD19655" w14:textId="77777777" w:rsidR="00921ADF" w:rsidRPr="00E46829" w:rsidRDefault="00921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3479" w:type="dxa"/>
          </w:tcPr>
          <w:p w14:paraId="63A067E4" w14:textId="50188A4E" w:rsidR="00921ADF" w:rsidRPr="00E46829" w:rsidRDefault="00860BFF" w:rsidP="00921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</w:tc>
      </w:tr>
      <w:tr w:rsidR="00593048" w:rsidRPr="00E46829" w14:paraId="35CC8EE6" w14:textId="0E4F6F77" w:rsidTr="009E11A2">
        <w:trPr>
          <w:trHeight w:val="1326"/>
        </w:trPr>
        <w:tc>
          <w:tcPr>
            <w:tcW w:w="438" w:type="dxa"/>
            <w:vMerge w:val="restart"/>
          </w:tcPr>
          <w:p w14:paraId="4AFA2E18" w14:textId="6965BE57" w:rsidR="00593048" w:rsidRPr="00E46829" w:rsidRDefault="0059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0" w:type="dxa"/>
            <w:vMerge w:val="restart"/>
          </w:tcPr>
          <w:p w14:paraId="4429D61B" w14:textId="40B4CAED" w:rsidR="00593048" w:rsidRPr="00E46829" w:rsidRDefault="00593048" w:rsidP="00ED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иммунохроматографического выявления антигена коронавируса </w:t>
            </w:r>
            <w:r w:rsidRPr="00E468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SARS</w:t>
            </w: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-2 в биологическом материале</w:t>
            </w:r>
          </w:p>
        </w:tc>
        <w:tc>
          <w:tcPr>
            <w:tcW w:w="3208" w:type="dxa"/>
          </w:tcPr>
          <w:p w14:paraId="1407A48D" w14:textId="0E561188" w:rsidR="00593048" w:rsidRPr="00E46829" w:rsidRDefault="0059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Назначение:</w:t>
            </w:r>
          </w:p>
        </w:tc>
        <w:tc>
          <w:tcPr>
            <w:tcW w:w="3941" w:type="dxa"/>
          </w:tcPr>
          <w:p w14:paraId="0440676E" w14:textId="6064C757" w:rsidR="00593048" w:rsidRPr="00E46829" w:rsidRDefault="00593048" w:rsidP="009C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Одноэтапное быстрое качественное выявление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нуклеокапсидного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 антигена SARS-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</w:p>
        </w:tc>
        <w:tc>
          <w:tcPr>
            <w:tcW w:w="3479" w:type="dxa"/>
          </w:tcPr>
          <w:p w14:paraId="1873CFB8" w14:textId="5A315DDC" w:rsidR="00593048" w:rsidRPr="00E46829" w:rsidRDefault="00593048" w:rsidP="00AB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Нуклеокапсидный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антиген является консервативным антигеном и не мутирует у всех известных штаммов SARS-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</w:p>
        </w:tc>
      </w:tr>
      <w:tr w:rsidR="004F669A" w:rsidRPr="00E46829" w14:paraId="1218756A" w14:textId="77777777" w:rsidTr="009E11A2">
        <w:trPr>
          <w:trHeight w:val="281"/>
        </w:trPr>
        <w:tc>
          <w:tcPr>
            <w:tcW w:w="438" w:type="dxa"/>
            <w:vMerge/>
          </w:tcPr>
          <w:p w14:paraId="4F2DCD3F" w14:textId="77777777" w:rsidR="004F669A" w:rsidRPr="00E46829" w:rsidRDefault="004F6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2B27BF3B" w14:textId="77777777" w:rsidR="004F669A" w:rsidRPr="00E46829" w:rsidRDefault="004F669A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2EE01001" w14:textId="083D9839" w:rsidR="004F669A" w:rsidRPr="00E46829" w:rsidRDefault="004F6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Количество определений:</w:t>
            </w:r>
          </w:p>
        </w:tc>
        <w:tc>
          <w:tcPr>
            <w:tcW w:w="3941" w:type="dxa"/>
          </w:tcPr>
          <w:p w14:paraId="64D2BA79" w14:textId="22ADD3F5" w:rsidR="004F669A" w:rsidRPr="00E46829" w:rsidRDefault="009851A6" w:rsidP="008A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C52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96515" w:rsidRPr="00E4682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79" w:type="dxa"/>
          </w:tcPr>
          <w:p w14:paraId="03489212" w14:textId="77777777" w:rsidR="004F669A" w:rsidRPr="00E46829" w:rsidRDefault="004F669A" w:rsidP="00EB2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0CA" w:rsidRPr="00E46829" w14:paraId="16AE571B" w14:textId="77777777" w:rsidTr="001F70CA">
        <w:trPr>
          <w:trHeight w:val="435"/>
        </w:trPr>
        <w:tc>
          <w:tcPr>
            <w:tcW w:w="438" w:type="dxa"/>
            <w:vMerge/>
          </w:tcPr>
          <w:p w14:paraId="6011B489" w14:textId="77777777" w:rsidR="001F70CA" w:rsidRPr="00E46829" w:rsidRDefault="001F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2247CB4E" w14:textId="77777777" w:rsidR="001F70CA" w:rsidRPr="00E46829" w:rsidRDefault="001F70CA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 w:val="restart"/>
          </w:tcPr>
          <w:p w14:paraId="374F3984" w14:textId="374FFF1B" w:rsidR="001F70CA" w:rsidRPr="00963139" w:rsidRDefault="001F70CA" w:rsidP="00860B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Биологический материал</w:t>
            </w:r>
            <w:r w:rsidR="0082784E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(подтверждено инструкцией производителя)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3941" w:type="dxa"/>
          </w:tcPr>
          <w:p w14:paraId="755E500C" w14:textId="646844D5" w:rsidR="001F70CA" w:rsidRPr="00963139" w:rsidRDefault="001F70CA" w:rsidP="001F70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Мазок из носоглотки или ротоглотки человека</w:t>
            </w:r>
            <w:r w:rsidR="00A76B24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 </w:t>
            </w:r>
          </w:p>
        </w:tc>
        <w:tc>
          <w:tcPr>
            <w:tcW w:w="3479" w:type="dxa"/>
            <w:vMerge w:val="restart"/>
          </w:tcPr>
          <w:p w14:paraId="3E31C70F" w14:textId="010C7545" w:rsidR="001F70CA" w:rsidRPr="00963139" w:rsidRDefault="001F70CA" w:rsidP="00EB21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Основные типы </w:t>
            </w:r>
            <w:proofErr w:type="gramStart"/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биологического материала, используемого при исследовании инфекции COVID-19</w:t>
            </w:r>
            <w:r w:rsidR="00512B50">
              <w:t xml:space="preserve"> </w:t>
            </w:r>
            <w:r w:rsidR="00512B50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Возможность проведения теста по слюне является</w:t>
            </w:r>
            <w:proofErr w:type="gramEnd"/>
            <w:r w:rsidR="00512B50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необходимой при тестировании лиц пожилого возраста и детей до 5 лет </w:t>
            </w:r>
            <w:r w:rsidR="00094066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F70CA" w:rsidRPr="00E46829" w14:paraId="4721E4A3" w14:textId="77777777" w:rsidTr="009E11A2">
        <w:trPr>
          <w:trHeight w:val="389"/>
        </w:trPr>
        <w:tc>
          <w:tcPr>
            <w:tcW w:w="438" w:type="dxa"/>
            <w:vMerge/>
          </w:tcPr>
          <w:p w14:paraId="5302727F" w14:textId="77777777" w:rsidR="001F70CA" w:rsidRPr="00E46829" w:rsidRDefault="001F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1FEF5CFD" w14:textId="77777777" w:rsidR="001F70CA" w:rsidRPr="00E46829" w:rsidRDefault="001F70CA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</w:tcPr>
          <w:p w14:paraId="3CCF0A23" w14:textId="77777777" w:rsidR="001F70CA" w:rsidRPr="00963139" w:rsidRDefault="001F70CA" w:rsidP="00860B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41" w:type="dxa"/>
          </w:tcPr>
          <w:p w14:paraId="6DC4AB57" w14:textId="1468C048" w:rsidR="001F70CA" w:rsidRPr="00963139" w:rsidRDefault="001F70CA" w:rsidP="007C1A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Образец слюны</w:t>
            </w:r>
          </w:p>
        </w:tc>
        <w:tc>
          <w:tcPr>
            <w:tcW w:w="3479" w:type="dxa"/>
            <w:vMerge/>
          </w:tcPr>
          <w:p w14:paraId="2CEE2583" w14:textId="77777777" w:rsidR="001F70CA" w:rsidRPr="00963139" w:rsidRDefault="001F70CA" w:rsidP="00EB21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35725" w:rsidRPr="00E46829" w14:paraId="6DC6AF46" w14:textId="77777777" w:rsidTr="009E11A2">
        <w:trPr>
          <w:trHeight w:val="389"/>
        </w:trPr>
        <w:tc>
          <w:tcPr>
            <w:tcW w:w="438" w:type="dxa"/>
            <w:vMerge/>
          </w:tcPr>
          <w:p w14:paraId="56BD1B38" w14:textId="77777777" w:rsidR="00135725" w:rsidRPr="00E46829" w:rsidRDefault="0013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2FCA283C" w14:textId="77777777" w:rsidR="00135725" w:rsidRPr="00E46829" w:rsidRDefault="00135725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7976470E" w14:textId="6DFD4DF3" w:rsidR="00135725" w:rsidRPr="00512B50" w:rsidRDefault="00135725" w:rsidP="00860B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Возможность применения в домашних условиях</w:t>
            </w:r>
          </w:p>
        </w:tc>
        <w:tc>
          <w:tcPr>
            <w:tcW w:w="3941" w:type="dxa"/>
          </w:tcPr>
          <w:p w14:paraId="4990EC4E" w14:textId="224FBA05" w:rsidR="00135725" w:rsidRPr="00512B50" w:rsidRDefault="00135725" w:rsidP="007C1A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Наличие</w:t>
            </w:r>
          </w:p>
        </w:tc>
        <w:tc>
          <w:tcPr>
            <w:tcW w:w="3479" w:type="dxa"/>
          </w:tcPr>
          <w:p w14:paraId="57C64EB7" w14:textId="02679D3D" w:rsidR="00135725" w:rsidRPr="00512B50" w:rsidRDefault="00135725" w:rsidP="00EB21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 возможности применения лицами, не имеющими медицинской подготовки</w:t>
            </w:r>
            <w:r w:rsidR="00512B50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вне лаборатории</w:t>
            </w:r>
          </w:p>
        </w:tc>
      </w:tr>
      <w:tr w:rsidR="004F669A" w:rsidRPr="00E46829" w14:paraId="34696E88" w14:textId="77777777" w:rsidTr="009E11A2">
        <w:trPr>
          <w:trHeight w:val="469"/>
        </w:trPr>
        <w:tc>
          <w:tcPr>
            <w:tcW w:w="438" w:type="dxa"/>
            <w:vMerge/>
          </w:tcPr>
          <w:p w14:paraId="0C3370A4" w14:textId="77777777" w:rsidR="004F669A" w:rsidRPr="00E46829" w:rsidRDefault="004F6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2C74FB67" w14:textId="77777777" w:rsidR="004F669A" w:rsidRPr="00E46829" w:rsidRDefault="004F669A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1EDD5E42" w14:textId="29536A4F" w:rsidR="004F669A" w:rsidRPr="00963139" w:rsidRDefault="00EE2232" w:rsidP="004F66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Диагностическая чувствительность, подтвержд</w:t>
            </w:r>
            <w:r w:rsidR="00FC6433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енная инструкцией производителя</w:t>
            </w:r>
          </w:p>
        </w:tc>
        <w:tc>
          <w:tcPr>
            <w:tcW w:w="3941" w:type="dxa"/>
          </w:tcPr>
          <w:p w14:paraId="2D75DA87" w14:textId="356DF9C4" w:rsidR="004F669A" w:rsidRPr="00963139" w:rsidRDefault="004F669A" w:rsidP="00FC643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менее </w:t>
            </w:r>
            <w:r w:rsidR="00396751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="00FC6433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8,6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3479" w:type="dxa"/>
          </w:tcPr>
          <w:p w14:paraId="1D4D2AA3" w14:textId="1CB54298" w:rsidR="004F669A" w:rsidRPr="00963139" w:rsidRDefault="004F669A" w:rsidP="00FF274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Для минимизации получения ложноотрицательных </w:t>
            </w:r>
            <w:r w:rsidR="0001571B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результатов</w:t>
            </w:r>
          </w:p>
        </w:tc>
      </w:tr>
      <w:tr w:rsidR="00FF274F" w:rsidRPr="00E46829" w14:paraId="4E1B0BE0" w14:textId="77777777" w:rsidTr="00A93E8F">
        <w:trPr>
          <w:trHeight w:val="1941"/>
        </w:trPr>
        <w:tc>
          <w:tcPr>
            <w:tcW w:w="438" w:type="dxa"/>
            <w:vMerge/>
          </w:tcPr>
          <w:p w14:paraId="1753A4EF" w14:textId="77777777" w:rsidR="004F669A" w:rsidRPr="00E46829" w:rsidRDefault="004F6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7EEB1141" w14:textId="77777777" w:rsidR="004F669A" w:rsidRPr="00E46829" w:rsidRDefault="004F669A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6DF83702" w14:textId="0F61D847" w:rsidR="0086208D" w:rsidRPr="00963139" w:rsidRDefault="00D0135F" w:rsidP="0086208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Возможность выявления основны</w:t>
            </w:r>
            <w:r w:rsidR="0086208D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штамм</w:t>
            </w:r>
            <w:r w:rsidR="0086208D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ов:</w:t>
            </w:r>
          </w:p>
          <w:p w14:paraId="1B01DFCE" w14:textId="089F8BDF" w:rsidR="00EE2232" w:rsidRPr="00963139" w:rsidRDefault="00D0135F" w:rsidP="00A93E8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SARS-</w:t>
            </w:r>
            <w:proofErr w:type="spellStart"/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</w:t>
            </w:r>
            <w:proofErr w:type="spellEnd"/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V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-2</w:t>
            </w:r>
            <w:r w:rsidR="004F669A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B.1.1.7 (Альфа), B.1.351 (Бета), B.1.1.28 (P.1) (Гамма), B.1.617.2 </w:t>
            </w:r>
            <w:r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(Дельта), B.1.1.529 (Омикрон)</w:t>
            </w:r>
            <w:r w:rsidR="009C7DEC"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, </w:t>
            </w:r>
            <w:r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ВА.2 (</w:t>
            </w:r>
            <w:proofErr w:type="spellStart"/>
            <w:r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Стелс</w:t>
            </w:r>
            <w:proofErr w:type="spellEnd"/>
            <w:r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-Омикрон)</w:t>
            </w:r>
            <w:r w:rsidR="009C7DEC"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и </w:t>
            </w:r>
            <w:r w:rsidR="009C7DEC"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BQ</w:t>
            </w:r>
            <w:r w:rsidR="009C7DEC"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.1 </w:t>
            </w:r>
            <w:r w:rsidR="009C7DEC"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b</w:t>
            </w:r>
            <w:r w:rsidR="009C7DEC"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9C7DEC"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BQ</w:t>
            </w:r>
            <w:r w:rsidR="009C7DEC" w:rsidRPr="0096313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.1.1 (Цербер) </w:t>
            </w:r>
          </w:p>
        </w:tc>
        <w:tc>
          <w:tcPr>
            <w:tcW w:w="3941" w:type="dxa"/>
          </w:tcPr>
          <w:p w14:paraId="31F3989C" w14:textId="21742EBD" w:rsidR="004F669A" w:rsidRPr="00963139" w:rsidRDefault="00D0135F" w:rsidP="00EB21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Наличие</w:t>
            </w:r>
          </w:p>
        </w:tc>
        <w:tc>
          <w:tcPr>
            <w:tcW w:w="3479" w:type="dxa"/>
          </w:tcPr>
          <w:p w14:paraId="69326A0B" w14:textId="294400FE" w:rsidR="004F669A" w:rsidRPr="00963139" w:rsidRDefault="00D0135F" w:rsidP="00555F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Для отсутствия ложноотрицательных </w:t>
            </w:r>
            <w:r w:rsidR="008C34C5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результатов 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 заражении пациентов различными штаммами SARS-</w:t>
            </w:r>
            <w:proofErr w:type="spellStart"/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</w:t>
            </w:r>
            <w:proofErr w:type="spellEnd"/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V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-2</w:t>
            </w:r>
            <w:r w:rsidR="00A31B5B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согласно </w:t>
            </w:r>
            <w:r w:rsidR="00555FB0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Временным методическим  рекомендациям "Профилактика, диагностика и лечение новой коронавирусной инфекции (COVID-19). Версия 18 (18.08.2022)" (утв. Минздравом России)</w:t>
            </w:r>
          </w:p>
        </w:tc>
      </w:tr>
      <w:tr w:rsidR="00FF274F" w:rsidRPr="00E46829" w14:paraId="61700B46" w14:textId="77777777" w:rsidTr="009E11A2">
        <w:trPr>
          <w:trHeight w:val="419"/>
        </w:trPr>
        <w:tc>
          <w:tcPr>
            <w:tcW w:w="438" w:type="dxa"/>
            <w:vMerge/>
          </w:tcPr>
          <w:p w14:paraId="0F9DE7B8" w14:textId="77777777" w:rsidR="004F669A" w:rsidRPr="00E46829" w:rsidRDefault="004F6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37CF3F42" w14:textId="77777777" w:rsidR="004F669A" w:rsidRPr="00E46829" w:rsidRDefault="004F669A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24BA9069" w14:textId="19424D46" w:rsidR="004F669A" w:rsidRPr="00963139" w:rsidRDefault="00512B50" w:rsidP="007C1A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Специфичность выявления антигена SARS-CoV-2 относительно ПЦР-исследования в ходе проведения клинических испытаний</w:t>
            </w:r>
          </w:p>
        </w:tc>
        <w:tc>
          <w:tcPr>
            <w:tcW w:w="3941" w:type="dxa"/>
          </w:tcPr>
          <w:p w14:paraId="2442BFEC" w14:textId="36E597B1" w:rsidR="004F669A" w:rsidRPr="00963139" w:rsidRDefault="005B28A6" w:rsidP="00FF274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менее </w:t>
            </w:r>
            <w:r w:rsidR="00CA5969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  <w:r w:rsidR="008C36FA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479" w:type="dxa"/>
          </w:tcPr>
          <w:p w14:paraId="2FC987EB" w14:textId="124DBD8D" w:rsidR="004F669A" w:rsidRPr="00963139" w:rsidRDefault="004F669A" w:rsidP="00FF274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Для минимизации получения </w:t>
            </w:r>
            <w:r w:rsidR="00DA190E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ложноположительных </w:t>
            </w:r>
            <w:r w:rsidR="0001571B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результатов</w:t>
            </w:r>
          </w:p>
        </w:tc>
      </w:tr>
      <w:tr w:rsidR="00B91E61" w:rsidRPr="00E46829" w14:paraId="20A8AC70" w14:textId="77777777" w:rsidTr="009E11A2">
        <w:trPr>
          <w:trHeight w:val="419"/>
        </w:trPr>
        <w:tc>
          <w:tcPr>
            <w:tcW w:w="438" w:type="dxa"/>
            <w:vMerge/>
          </w:tcPr>
          <w:p w14:paraId="6C3DC19B" w14:textId="77777777" w:rsidR="00B91E61" w:rsidRPr="00E46829" w:rsidRDefault="00B91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183943BC" w14:textId="77777777" w:rsidR="00B91E61" w:rsidRPr="00E46829" w:rsidRDefault="00B91E61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67E8307A" w14:textId="7DB8850A" w:rsidR="00B91E61" w:rsidRPr="00963139" w:rsidRDefault="00B91E61" w:rsidP="007C1A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Аналитическая чувствительность</w:t>
            </w:r>
            <w:r w:rsidR="00A244B6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="00A244B6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пг</w:t>
            </w:r>
            <w:proofErr w:type="spellEnd"/>
            <w:r w:rsidR="00A244B6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/мл</w:t>
            </w:r>
          </w:p>
        </w:tc>
        <w:tc>
          <w:tcPr>
            <w:tcW w:w="3941" w:type="dxa"/>
          </w:tcPr>
          <w:p w14:paraId="5198A677" w14:textId="08D101F8" w:rsidR="00B91E61" w:rsidRPr="00963139" w:rsidRDefault="00B91E61" w:rsidP="00A244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более </w:t>
            </w:r>
            <w:r w:rsidR="00A244B6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25 </w:t>
            </w:r>
            <w:proofErr w:type="spellStart"/>
            <w:r w:rsidR="00A244B6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пг</w:t>
            </w:r>
            <w:proofErr w:type="spellEnd"/>
            <w:r w:rsidR="00A244B6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/мл</w:t>
            </w:r>
          </w:p>
        </w:tc>
        <w:tc>
          <w:tcPr>
            <w:tcW w:w="3479" w:type="dxa"/>
          </w:tcPr>
          <w:p w14:paraId="6836FD84" w14:textId="13FEDBA8" w:rsidR="00B91E61" w:rsidRPr="00963139" w:rsidRDefault="00512B50" w:rsidP="006220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Для возможности выявления заболевания на ранних стадиях </w:t>
            </w:r>
          </w:p>
        </w:tc>
      </w:tr>
      <w:tr w:rsidR="00FF274F" w:rsidRPr="00E46829" w14:paraId="3AB6F3D7" w14:textId="77777777" w:rsidTr="009E11A2">
        <w:trPr>
          <w:trHeight w:val="315"/>
        </w:trPr>
        <w:tc>
          <w:tcPr>
            <w:tcW w:w="438" w:type="dxa"/>
            <w:vMerge/>
          </w:tcPr>
          <w:p w14:paraId="78E34749" w14:textId="77777777" w:rsidR="004F669A" w:rsidRPr="00E46829" w:rsidRDefault="004F6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4232BFFE" w14:textId="77777777" w:rsidR="004F669A" w:rsidRPr="00E46829" w:rsidRDefault="004F669A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2FFC5282" w14:textId="5AEF087C" w:rsidR="004F669A" w:rsidRPr="00512B50" w:rsidRDefault="004F669A" w:rsidP="00512B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Время достижения устойчивых результатов</w:t>
            </w:r>
            <w:r w:rsidR="00512B50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7DF619E4" w14:textId="3903F2A9" w:rsidR="004F669A" w:rsidRPr="00512B50" w:rsidRDefault="00512B50" w:rsidP="0042438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5 минут</w:t>
            </w:r>
          </w:p>
        </w:tc>
        <w:tc>
          <w:tcPr>
            <w:tcW w:w="3479" w:type="dxa"/>
          </w:tcPr>
          <w:p w14:paraId="654C49C5" w14:textId="20FBB098" w:rsidR="004F669A" w:rsidRPr="00512B50" w:rsidRDefault="00D00EBB" w:rsidP="00ED2C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Необходимо для возможности обследования числа пациентов</w:t>
            </w:r>
            <w:r w:rsidR="005D4366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согласно </w:t>
            </w:r>
            <w:r w:rsidR="00ED2CB6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Приказу от 2 июня 2015 г. N 290н</w:t>
            </w:r>
            <w:r w:rsidR="005D4366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согласно котор</w:t>
            </w:r>
            <w:r w:rsidR="00ED2CB6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="005D4366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r w:rsidR="00ED2CB6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</w:t>
            </w:r>
            <w:r w:rsidR="005D4366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на одного пациента отводится 15 минут</w:t>
            </w: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Сокращение времени контакта </w:t>
            </w:r>
            <w:r w:rsidR="0001571B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медицинского  </w:t>
            </w:r>
            <w:r w:rsidR="009C7DEC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персонала</w:t>
            </w: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 </w:t>
            </w:r>
            <w:r w:rsidR="0001571B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пациентами.</w:t>
            </w:r>
            <w:r w:rsidR="0001571B" w:rsidRPr="00512B50" w:rsidDel="0001571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F274F" w:rsidRPr="00E46829" w14:paraId="28D947E5" w14:textId="77777777" w:rsidTr="009E11A2">
        <w:trPr>
          <w:trHeight w:val="404"/>
        </w:trPr>
        <w:tc>
          <w:tcPr>
            <w:tcW w:w="438" w:type="dxa"/>
            <w:vMerge/>
          </w:tcPr>
          <w:p w14:paraId="6F4838C0" w14:textId="77777777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40B6163C" w14:textId="77777777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247FD8A3" w14:textId="72A46ED5" w:rsidR="004F669A" w:rsidRPr="00512B50" w:rsidRDefault="004F669A" w:rsidP="007C1A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наносимого</w:t>
            </w:r>
            <w:r w:rsidR="00E01684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готового</w:t>
            </w:r>
            <w:r w:rsidR="000A158B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образца </w:t>
            </w: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из носоглотки</w:t>
            </w:r>
            <w:r w:rsidR="007C1A6A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 </w:t>
            </w: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ротоглотки человека</w:t>
            </w:r>
            <w:r w:rsidR="00466B40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3941" w:type="dxa"/>
          </w:tcPr>
          <w:p w14:paraId="57A69AB6" w14:textId="7B2F844A" w:rsidR="004F669A" w:rsidRPr="00512B50" w:rsidRDefault="00D143EC" w:rsidP="00F178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более 80 </w:t>
            </w:r>
            <w:proofErr w:type="spellStart"/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мкл</w:t>
            </w:r>
            <w:proofErr w:type="spellEnd"/>
            <w:r w:rsidR="00A4175E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479" w:type="dxa"/>
          </w:tcPr>
          <w:p w14:paraId="2D8A2C7B" w14:textId="22ED486C" w:rsidR="004F669A" w:rsidRPr="00512B50" w:rsidRDefault="00571C77" w:rsidP="00FE1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Минимальное необходимое количество буфера с образцами мазка носоглотки/ротоглотки </w:t>
            </w:r>
            <w:r w:rsidR="00FE1F72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для минимизации контакта пациента и </w:t>
            </w:r>
            <w:proofErr w:type="spellStart"/>
            <w:r w:rsidR="00FE1F72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мед</w:t>
            </w:r>
            <w:proofErr w:type="gramStart"/>
            <w:r w:rsidR="00FE1F72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.п</w:t>
            </w:r>
            <w:proofErr w:type="gramEnd"/>
            <w:r w:rsidR="00FE1F72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ерсонала</w:t>
            </w:r>
            <w:proofErr w:type="spellEnd"/>
            <w:r w:rsidR="00FE1F72"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</w:tr>
      <w:tr w:rsidR="00FF274F" w:rsidRPr="00E46829" w14:paraId="16F72332" w14:textId="6A58BF3A" w:rsidTr="009E11A2">
        <w:trPr>
          <w:trHeight w:val="265"/>
        </w:trPr>
        <w:tc>
          <w:tcPr>
            <w:tcW w:w="438" w:type="dxa"/>
            <w:vMerge/>
          </w:tcPr>
          <w:p w14:paraId="6369C4CF" w14:textId="77777777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6BB03534" w14:textId="77777777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61F5FD55" w14:textId="5888EDE1" w:rsidR="004F669A" w:rsidRPr="00E46829" w:rsidRDefault="00BB3EE2" w:rsidP="00FF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Отсутствие п</w:t>
            </w:r>
            <w:r w:rsidR="004F669A" w:rsidRPr="00E46829">
              <w:rPr>
                <w:rFonts w:ascii="Times New Roman" w:hAnsi="Times New Roman" w:cs="Times New Roman"/>
                <w:sz w:val="20"/>
                <w:szCs w:val="20"/>
              </w:rPr>
              <w:t>ерекрестн</w:t>
            </w: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4F669A"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реактивност</w:t>
            </w: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669A" w:rsidRPr="00E468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41" w:type="dxa"/>
          </w:tcPr>
          <w:p w14:paraId="67F401D4" w14:textId="2A5C54BB" w:rsidR="004F669A" w:rsidRPr="00E46829" w:rsidRDefault="0026123A" w:rsidP="00DB2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МERS-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CoV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, SARS-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CoV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HCoV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НКUl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, ос43, 229Е и NL63), респираторно-синцитиальн</w:t>
            </w:r>
            <w:r w:rsidR="00DB209E" w:rsidRPr="00E46829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вирус типа</w:t>
            </w:r>
            <w:proofErr w:type="gram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и В, вирус гриппа А</w:t>
            </w:r>
            <w:r w:rsidR="00DB209E"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аденовирус,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риновирус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вирус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Коксаки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В4, вирус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парагриппа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метапневмовирус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энтеровирус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, вирус Эпштейна-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Барра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вирус кори,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цитомегаловирус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ротавирус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вирус эпидемического паротита, вирус ветряной оспы,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эховирус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вирус краснухи,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герпесвирус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парамиксовирус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бокавирус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Bordetella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pertussis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Chlamydia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Legionella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pneumophila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Hemophilus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influenza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Mycoplasma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Mycobacterium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tuberculosis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pyoge</w:t>
            </w:r>
            <w:proofErr w:type="gram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Escherichia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haemolyticus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salivarius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Hemophilus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parahaemoly</w:t>
            </w:r>
            <w:r w:rsidR="009C52B7">
              <w:rPr>
                <w:rFonts w:ascii="Times New Roman" w:hAnsi="Times New Roman" w:cs="Times New Roman"/>
                <w:sz w:val="20"/>
                <w:szCs w:val="20"/>
              </w:rPr>
              <w:t>ticus</w:t>
            </w:r>
            <w:proofErr w:type="spellEnd"/>
            <w:r w:rsidR="009C52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C52B7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proofErr w:type="spellEnd"/>
            <w:r w:rsidR="009C5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52B7">
              <w:rPr>
                <w:rFonts w:ascii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="009C52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Pseudomonas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aeruginosa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, палочка паракоклюша,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Candida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albicans</w:t>
            </w:r>
            <w:proofErr w:type="spell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79" w:type="dxa"/>
          </w:tcPr>
          <w:p w14:paraId="69ACF985" w14:textId="4CADBA23" w:rsidR="004F669A" w:rsidRPr="00E46829" w:rsidRDefault="004F669A" w:rsidP="00D7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Для минимизации получения ложноположительных </w:t>
            </w:r>
            <w:r w:rsidR="00C64589" w:rsidRPr="00E46829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r w:rsidR="00A537CE"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274F" w:rsidRPr="00E46829" w14:paraId="077AE1F0" w14:textId="4F85105A" w:rsidTr="009E11A2">
        <w:tc>
          <w:tcPr>
            <w:tcW w:w="438" w:type="dxa"/>
            <w:vMerge/>
          </w:tcPr>
          <w:p w14:paraId="566382E3" w14:textId="77777777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42A128DD" w14:textId="77777777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BA97D6D" w14:textId="7804C41B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Условия хранения:</w:t>
            </w:r>
          </w:p>
        </w:tc>
        <w:tc>
          <w:tcPr>
            <w:tcW w:w="3941" w:type="dxa"/>
          </w:tcPr>
          <w:p w14:paraId="703DA1F3" w14:textId="72E7E1E3" w:rsidR="004F669A" w:rsidRPr="00E46829" w:rsidRDefault="0068303E" w:rsidP="0006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="004F669A"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proofErr w:type="gramStart"/>
            <w:r w:rsidR="008C4503" w:rsidRPr="00E46829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E468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669A"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F669A" w:rsidRPr="00E468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64D68" w:rsidRPr="00E46829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3479" w:type="dxa"/>
          </w:tcPr>
          <w:p w14:paraId="3ED13B5D" w14:textId="28726744" w:rsidR="004F669A" w:rsidRPr="00E46829" w:rsidRDefault="004F669A" w:rsidP="00F4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Для возможности </w:t>
            </w:r>
            <w:r w:rsidR="00F46130" w:rsidRPr="00E46829">
              <w:rPr>
                <w:rFonts w:ascii="Times New Roman" w:hAnsi="Times New Roman" w:cs="Times New Roman"/>
                <w:sz w:val="20"/>
                <w:szCs w:val="20"/>
              </w:rPr>
              <w:t xml:space="preserve">хранения товар без использования дополнительного </w:t>
            </w:r>
            <w:r w:rsidR="00F46130" w:rsidRPr="00E46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</w:tr>
      <w:tr w:rsidR="007F6E05" w:rsidRPr="00E46829" w14:paraId="52EB30A5" w14:textId="77777777" w:rsidTr="009E11A2">
        <w:tc>
          <w:tcPr>
            <w:tcW w:w="438" w:type="dxa"/>
            <w:vMerge/>
          </w:tcPr>
          <w:p w14:paraId="1777B3A8" w14:textId="77777777" w:rsidR="007F6E05" w:rsidRPr="00E46829" w:rsidRDefault="007F6E05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6633F19F" w14:textId="77777777" w:rsidR="007F6E05" w:rsidRPr="00E46829" w:rsidRDefault="007F6E05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71C94670" w14:textId="55EA6355" w:rsidR="007F6E05" w:rsidRPr="00512B50" w:rsidRDefault="007F6E05" w:rsidP="00F178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Условия транспортировки:</w:t>
            </w:r>
          </w:p>
        </w:tc>
        <w:tc>
          <w:tcPr>
            <w:tcW w:w="3941" w:type="dxa"/>
          </w:tcPr>
          <w:p w14:paraId="51A0232F" w14:textId="746FFAE9" w:rsidR="007F6E05" w:rsidRPr="00512B50" w:rsidRDefault="007F6E05" w:rsidP="007F6E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 минус 30</w:t>
            </w:r>
            <w:proofErr w:type="gramStart"/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°С</w:t>
            </w:r>
            <w:proofErr w:type="gramEnd"/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до плюс 40°С</w:t>
            </w:r>
          </w:p>
        </w:tc>
        <w:tc>
          <w:tcPr>
            <w:tcW w:w="3479" w:type="dxa"/>
          </w:tcPr>
          <w:p w14:paraId="07729C84" w14:textId="5016871D" w:rsidR="007F6E05" w:rsidRPr="00512B50" w:rsidRDefault="007F6E05" w:rsidP="00F4613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 стабильности набора в ходе транспортировки, возможность транспортировки без использования дополнительного оборудования</w:t>
            </w:r>
          </w:p>
        </w:tc>
      </w:tr>
      <w:tr w:rsidR="00FF274F" w:rsidRPr="00E46829" w14:paraId="0DA1C0D0" w14:textId="77777777" w:rsidTr="009E11A2">
        <w:tc>
          <w:tcPr>
            <w:tcW w:w="438" w:type="dxa"/>
            <w:vMerge/>
          </w:tcPr>
          <w:p w14:paraId="1523DB99" w14:textId="77777777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1BAC3348" w14:textId="77777777" w:rsidR="004F669A" w:rsidRPr="00E4682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8381B90" w14:textId="0B4A567B" w:rsidR="004F669A" w:rsidRPr="00963139" w:rsidRDefault="004F669A" w:rsidP="00F178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Условия хранения </w:t>
            </w:r>
            <w:proofErr w:type="gramStart"/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тест-кассеты</w:t>
            </w:r>
            <w:proofErr w:type="gramEnd"/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после вскрытия:</w:t>
            </w:r>
          </w:p>
        </w:tc>
        <w:tc>
          <w:tcPr>
            <w:tcW w:w="3941" w:type="dxa"/>
          </w:tcPr>
          <w:p w14:paraId="5B8624F3" w14:textId="7DD6A7A8" w:rsidR="004F669A" w:rsidRPr="00963139" w:rsidRDefault="004F669A" w:rsidP="00321F4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</w:t>
            </w:r>
            <w:r w:rsidR="00321F4E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менее</w:t>
            </w:r>
            <w:r w:rsidR="00240D2A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 часов</w:t>
            </w:r>
          </w:p>
        </w:tc>
        <w:tc>
          <w:tcPr>
            <w:tcW w:w="3479" w:type="dxa"/>
          </w:tcPr>
          <w:p w14:paraId="44445C9D" w14:textId="13C941D9" w:rsidR="004F669A" w:rsidRPr="00963139" w:rsidRDefault="004F669A" w:rsidP="009628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 возможности работы с набором в течение необходимого времени</w:t>
            </w:r>
            <w:r w:rsidR="00BC3BB9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 случае случайного вскрытия или повреждения упаковки (при большом потоке пациентов могут быть вскрыто количество </w:t>
            </w:r>
            <w:proofErr w:type="gramStart"/>
            <w:r w:rsidR="00BC3BB9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упаковок</w:t>
            </w:r>
            <w:proofErr w:type="gramEnd"/>
            <w:r w:rsidR="00BC3BB9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незначительно</w:t>
            </w:r>
            <w:r w:rsidR="00DF4FDD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превышающее количество пациентов).</w:t>
            </w:r>
          </w:p>
        </w:tc>
      </w:tr>
      <w:tr w:rsidR="0032047C" w:rsidRPr="00E46829" w14:paraId="2EB13800" w14:textId="77777777" w:rsidTr="009E11A2">
        <w:trPr>
          <w:trHeight w:val="373"/>
        </w:trPr>
        <w:tc>
          <w:tcPr>
            <w:tcW w:w="4158" w:type="dxa"/>
            <w:gridSpan w:val="2"/>
            <w:vMerge w:val="restart"/>
          </w:tcPr>
          <w:p w14:paraId="01935B2A" w14:textId="77777777" w:rsidR="0032047C" w:rsidRPr="00E4682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D1D17ED" w14:textId="4AF9F694" w:rsidR="0032047C" w:rsidRPr="00963139" w:rsidRDefault="00FA5C16" w:rsidP="00FA5C1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Остаточный срок годности на дату поставки</w:t>
            </w:r>
            <w:r w:rsidR="0032047C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3941" w:type="dxa"/>
          </w:tcPr>
          <w:p w14:paraId="302BA562" w14:textId="59D2E2C3" w:rsidR="0032047C" w:rsidRPr="00963139" w:rsidRDefault="00D00D64" w:rsidP="009C52B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</w:t>
            </w:r>
            <w:r w:rsidR="00D143EC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 менее </w:t>
            </w:r>
            <w:r w:rsidR="009C52B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  <w:r w:rsidR="0032047C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месяц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ев</w:t>
            </w:r>
            <w:r w:rsidR="00466B40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479" w:type="dxa"/>
          </w:tcPr>
          <w:p w14:paraId="15746E1E" w14:textId="315A09D2" w:rsidR="0032047C" w:rsidRPr="0096313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 возможности работы с набором в течение необходимого времени</w:t>
            </w:r>
            <w:r w:rsidR="00DF4FDD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после поставки товара.</w:t>
            </w:r>
          </w:p>
        </w:tc>
      </w:tr>
      <w:tr w:rsidR="0032047C" w:rsidRPr="00E46829" w14:paraId="4C191B40" w14:textId="77777777" w:rsidTr="0032047C">
        <w:trPr>
          <w:trHeight w:val="181"/>
        </w:trPr>
        <w:tc>
          <w:tcPr>
            <w:tcW w:w="4158" w:type="dxa"/>
            <w:gridSpan w:val="2"/>
            <w:vMerge/>
          </w:tcPr>
          <w:p w14:paraId="6149B545" w14:textId="77777777" w:rsidR="0032047C" w:rsidRPr="00E4682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8" w:type="dxa"/>
            <w:gridSpan w:val="3"/>
          </w:tcPr>
          <w:p w14:paraId="65CB8779" w14:textId="531596BD" w:rsidR="0032047C" w:rsidRPr="00963139" w:rsidRDefault="0032047C" w:rsidP="00AB49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Состав набора</w:t>
            </w: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: </w:t>
            </w:r>
          </w:p>
        </w:tc>
      </w:tr>
      <w:tr w:rsidR="0032047C" w:rsidRPr="00E46829" w14:paraId="6193C9D3" w14:textId="77777777" w:rsidTr="009E11A2">
        <w:trPr>
          <w:trHeight w:val="240"/>
        </w:trPr>
        <w:tc>
          <w:tcPr>
            <w:tcW w:w="4158" w:type="dxa"/>
            <w:gridSpan w:val="2"/>
            <w:vMerge/>
          </w:tcPr>
          <w:p w14:paraId="7C0FC6E2" w14:textId="77777777" w:rsidR="0032047C" w:rsidRPr="00E4682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44DBF58" w14:textId="4D72AB6E" w:rsidR="0032047C" w:rsidRPr="00963139" w:rsidRDefault="0032047C" w:rsidP="00AB49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Тест-кассета </w:t>
            </w:r>
            <w:r w:rsidR="00DE7749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или тест-картридж</w:t>
            </w:r>
          </w:p>
        </w:tc>
        <w:tc>
          <w:tcPr>
            <w:tcW w:w="3941" w:type="dxa"/>
          </w:tcPr>
          <w:p w14:paraId="35B25488" w14:textId="50A86F7B" w:rsidR="0032047C" w:rsidRPr="00963139" w:rsidRDefault="00D143EC" w:rsidP="008A02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менее </w:t>
            </w:r>
            <w:r w:rsidR="009C52B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="0032047C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шт. </w:t>
            </w:r>
          </w:p>
        </w:tc>
        <w:tc>
          <w:tcPr>
            <w:tcW w:w="3479" w:type="dxa"/>
          </w:tcPr>
          <w:p w14:paraId="1561BCC7" w14:textId="77777777" w:rsidR="0032047C" w:rsidRPr="0096313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2047C" w:rsidRPr="00E46829" w14:paraId="490FAE73" w14:textId="77777777" w:rsidTr="009E11A2">
        <w:trPr>
          <w:trHeight w:val="274"/>
        </w:trPr>
        <w:tc>
          <w:tcPr>
            <w:tcW w:w="4158" w:type="dxa"/>
            <w:gridSpan w:val="2"/>
            <w:vMerge/>
          </w:tcPr>
          <w:p w14:paraId="36FC3EDE" w14:textId="77777777" w:rsidR="0032047C" w:rsidRPr="00E4682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604A611" w14:textId="42596C16" w:rsidR="0032047C" w:rsidRPr="00963139" w:rsidRDefault="0032047C" w:rsidP="00CD0A8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Буфер для анализа</w:t>
            </w:r>
            <w:r w:rsidR="00AB490C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во флаконе-капельнице</w:t>
            </w:r>
            <w:r w:rsidR="00D143EC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CD0A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мене</w:t>
            </w:r>
            <w:bookmarkStart w:id="0" w:name="_GoBack"/>
            <w:bookmarkEnd w:id="0"/>
            <w:r w:rsidR="00CD0A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 0,5 мл.</w:t>
            </w:r>
            <w:r w:rsidR="00742196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941" w:type="dxa"/>
          </w:tcPr>
          <w:p w14:paraId="7B637E5D" w14:textId="1A60154F" w:rsidR="0032047C" w:rsidRPr="00963139" w:rsidRDefault="00A244B6" w:rsidP="008A02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менее </w:t>
            </w:r>
            <w:r w:rsidR="009C52B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="00A4175E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шт.</w:t>
            </w:r>
          </w:p>
        </w:tc>
        <w:tc>
          <w:tcPr>
            <w:tcW w:w="3479" w:type="dxa"/>
          </w:tcPr>
          <w:p w14:paraId="32F3ABB9" w14:textId="77777777" w:rsidR="0032047C" w:rsidRPr="0096313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2047C" w:rsidRPr="00E46829" w14:paraId="0E410865" w14:textId="77777777" w:rsidTr="009E11A2">
        <w:trPr>
          <w:trHeight w:val="277"/>
        </w:trPr>
        <w:tc>
          <w:tcPr>
            <w:tcW w:w="4158" w:type="dxa"/>
            <w:gridSpan w:val="2"/>
            <w:vMerge/>
          </w:tcPr>
          <w:p w14:paraId="15DBE79A" w14:textId="77777777" w:rsidR="0032047C" w:rsidRPr="00E4682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050CA53" w14:textId="36352396" w:rsidR="0032047C" w:rsidRPr="00963139" w:rsidRDefault="00813A39" w:rsidP="00813A3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Зонд медицинский одноразовый стерильный</w:t>
            </w:r>
            <w:r w:rsidR="00B124B5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 индивидуальной упаковке</w:t>
            </w:r>
          </w:p>
        </w:tc>
        <w:tc>
          <w:tcPr>
            <w:tcW w:w="3941" w:type="dxa"/>
          </w:tcPr>
          <w:p w14:paraId="266EA1A7" w14:textId="68AD2088" w:rsidR="0032047C" w:rsidRPr="00963139" w:rsidRDefault="00D143EC" w:rsidP="008A02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менее </w:t>
            </w:r>
            <w:r w:rsidR="009C52B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  <w:r w:rsidR="0032047C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шт. </w:t>
            </w:r>
          </w:p>
        </w:tc>
        <w:tc>
          <w:tcPr>
            <w:tcW w:w="3479" w:type="dxa"/>
          </w:tcPr>
          <w:p w14:paraId="7D3C52CA" w14:textId="7637DAFE" w:rsidR="0032047C" w:rsidRPr="0096313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2047C" w:rsidRPr="00E46829" w14:paraId="63761531" w14:textId="77777777" w:rsidTr="009E11A2">
        <w:trPr>
          <w:trHeight w:val="189"/>
        </w:trPr>
        <w:tc>
          <w:tcPr>
            <w:tcW w:w="4158" w:type="dxa"/>
            <w:gridSpan w:val="2"/>
            <w:vMerge/>
          </w:tcPr>
          <w:p w14:paraId="77A0381C" w14:textId="77777777" w:rsidR="0032047C" w:rsidRPr="00E4682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14:paraId="58957F35" w14:textId="112F693A" w:rsidR="0032047C" w:rsidRPr="00963139" w:rsidRDefault="00DE7749" w:rsidP="00E468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Обязательное наличие инструкции с подтверждением вышеуказанных характеристик (для пров</w:t>
            </w:r>
            <w:r w:rsidR="00F0410D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ерки достоверности сведений) </w:t>
            </w:r>
            <w:r w:rsidR="00247AB7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 регистрационного удостоверения выданного Федеральной Службой по надзору в сфере Здравоохранения с приложениями</w:t>
            </w:r>
          </w:p>
        </w:tc>
        <w:tc>
          <w:tcPr>
            <w:tcW w:w="3941" w:type="dxa"/>
          </w:tcPr>
          <w:p w14:paraId="7A3E09F7" w14:textId="23C1C274" w:rsidR="0032047C" w:rsidRPr="00963139" w:rsidRDefault="00555FB0" w:rsidP="0040738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</w:t>
            </w:r>
            <w:r w:rsidR="0086208D" w:rsidRPr="009631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аличие</w:t>
            </w:r>
          </w:p>
        </w:tc>
        <w:tc>
          <w:tcPr>
            <w:tcW w:w="3479" w:type="dxa"/>
          </w:tcPr>
          <w:p w14:paraId="39113048" w14:textId="77777777" w:rsidR="0032047C" w:rsidRPr="00963139" w:rsidRDefault="0032047C" w:rsidP="00F178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78FEE17" w14:textId="26CFC1F9" w:rsidR="001309E2" w:rsidRPr="00E46829" w:rsidRDefault="00C96515" w:rsidP="00A15F4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829">
        <w:rPr>
          <w:rFonts w:ascii="Times New Roman" w:hAnsi="Times New Roman" w:cs="Times New Roman"/>
          <w:b/>
          <w:sz w:val="24"/>
          <w:szCs w:val="24"/>
        </w:rPr>
        <w:t>*Допускается возможность поставки продукции с иным количеством единиц в упаковке при условии соблюдения общего количества закупаемой продукции.</w:t>
      </w:r>
    </w:p>
    <w:p w14:paraId="0B512A4D" w14:textId="36BDF69E" w:rsidR="00C96515" w:rsidRPr="00A15F40" w:rsidRDefault="00BC3BB9" w:rsidP="00A15F4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829">
        <w:rPr>
          <w:rFonts w:ascii="Times New Roman" w:hAnsi="Times New Roman" w:cs="Times New Roman"/>
          <w:b/>
          <w:sz w:val="24"/>
          <w:szCs w:val="24"/>
        </w:rPr>
        <w:t>**</w:t>
      </w:r>
      <w:r w:rsidR="00FE1F72" w:rsidRPr="00E46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F3A" w:rsidRPr="00E46829">
        <w:rPr>
          <w:rFonts w:ascii="Times New Roman" w:hAnsi="Times New Roman" w:cs="Times New Roman"/>
          <w:b/>
          <w:sz w:val="24"/>
          <w:szCs w:val="24"/>
        </w:rPr>
        <w:t>Ф</w:t>
      </w:r>
      <w:r w:rsidR="00FE1F72" w:rsidRPr="00E46829">
        <w:rPr>
          <w:rFonts w:ascii="Times New Roman" w:hAnsi="Times New Roman" w:cs="Times New Roman"/>
          <w:b/>
          <w:sz w:val="24"/>
          <w:szCs w:val="24"/>
        </w:rPr>
        <w:t>ункциональны</w:t>
      </w:r>
      <w:r w:rsidR="007C4F3A" w:rsidRPr="00E46829">
        <w:rPr>
          <w:rFonts w:ascii="Times New Roman" w:hAnsi="Times New Roman" w:cs="Times New Roman"/>
          <w:b/>
          <w:sz w:val="24"/>
          <w:szCs w:val="24"/>
        </w:rPr>
        <w:t>е</w:t>
      </w:r>
      <w:r w:rsidR="00FE1F72" w:rsidRPr="00E46829">
        <w:rPr>
          <w:rFonts w:ascii="Times New Roman" w:hAnsi="Times New Roman" w:cs="Times New Roman"/>
          <w:b/>
          <w:sz w:val="24"/>
          <w:szCs w:val="24"/>
        </w:rPr>
        <w:t>, технически</w:t>
      </w:r>
      <w:r w:rsidR="007C4F3A" w:rsidRPr="00E46829">
        <w:rPr>
          <w:rFonts w:ascii="Times New Roman" w:hAnsi="Times New Roman" w:cs="Times New Roman"/>
          <w:b/>
          <w:sz w:val="24"/>
          <w:szCs w:val="24"/>
        </w:rPr>
        <w:t>е</w:t>
      </w:r>
      <w:r w:rsidR="00FE1F72" w:rsidRPr="00E46829">
        <w:rPr>
          <w:rFonts w:ascii="Times New Roman" w:hAnsi="Times New Roman" w:cs="Times New Roman"/>
          <w:b/>
          <w:sz w:val="24"/>
          <w:szCs w:val="24"/>
        </w:rPr>
        <w:t xml:space="preserve"> и качественны</w:t>
      </w:r>
      <w:r w:rsidR="007C4F3A" w:rsidRPr="00E46829">
        <w:rPr>
          <w:rFonts w:ascii="Times New Roman" w:hAnsi="Times New Roman" w:cs="Times New Roman"/>
          <w:b/>
          <w:sz w:val="24"/>
          <w:szCs w:val="24"/>
        </w:rPr>
        <w:t>е</w:t>
      </w:r>
      <w:r w:rsidR="00FE1F72" w:rsidRPr="00E46829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 w:rsidR="007C4F3A" w:rsidRPr="00E46829">
        <w:rPr>
          <w:rFonts w:ascii="Times New Roman" w:hAnsi="Times New Roman" w:cs="Times New Roman"/>
          <w:b/>
          <w:sz w:val="24"/>
          <w:szCs w:val="24"/>
        </w:rPr>
        <w:t>и</w:t>
      </w:r>
      <w:r w:rsidR="00FE1F72" w:rsidRPr="00E46829">
        <w:rPr>
          <w:rFonts w:ascii="Times New Roman" w:hAnsi="Times New Roman" w:cs="Times New Roman"/>
          <w:b/>
          <w:sz w:val="24"/>
          <w:szCs w:val="24"/>
        </w:rPr>
        <w:t xml:space="preserve"> товара должны быть подтверждены инструкцией производителя</w:t>
      </w:r>
    </w:p>
    <w:p w14:paraId="30AAD8A7" w14:textId="032B5F7A" w:rsidR="007C4F3A" w:rsidRPr="00A15F40" w:rsidRDefault="007C4F3A" w:rsidP="00A15F4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C4F3A" w:rsidRPr="00A15F40" w:rsidSect="00775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4EA0"/>
    <w:multiLevelType w:val="hybridMultilevel"/>
    <w:tmpl w:val="3620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65"/>
    <w:rsid w:val="00015457"/>
    <w:rsid w:val="0001571B"/>
    <w:rsid w:val="00016F3D"/>
    <w:rsid w:val="00024710"/>
    <w:rsid w:val="00052893"/>
    <w:rsid w:val="00064D68"/>
    <w:rsid w:val="000675EE"/>
    <w:rsid w:val="00077C0F"/>
    <w:rsid w:val="00094066"/>
    <w:rsid w:val="000A158B"/>
    <w:rsid w:val="000B4159"/>
    <w:rsid w:val="000E483F"/>
    <w:rsid w:val="000E692B"/>
    <w:rsid w:val="001309E2"/>
    <w:rsid w:val="00135725"/>
    <w:rsid w:val="00137903"/>
    <w:rsid w:val="0014432D"/>
    <w:rsid w:val="001544DA"/>
    <w:rsid w:val="001B6203"/>
    <w:rsid w:val="001C4348"/>
    <w:rsid w:val="001D24CB"/>
    <w:rsid w:val="001F00A3"/>
    <w:rsid w:val="001F15FB"/>
    <w:rsid w:val="001F70CA"/>
    <w:rsid w:val="00200183"/>
    <w:rsid w:val="00233AD2"/>
    <w:rsid w:val="00240D2A"/>
    <w:rsid w:val="00247AB7"/>
    <w:rsid w:val="002546A3"/>
    <w:rsid w:val="0026123A"/>
    <w:rsid w:val="0026468C"/>
    <w:rsid w:val="00264914"/>
    <w:rsid w:val="002936E8"/>
    <w:rsid w:val="002C6724"/>
    <w:rsid w:val="002F7CDF"/>
    <w:rsid w:val="0032047C"/>
    <w:rsid w:val="00321F4E"/>
    <w:rsid w:val="00333AE7"/>
    <w:rsid w:val="00375DE8"/>
    <w:rsid w:val="00396751"/>
    <w:rsid w:val="003D2A41"/>
    <w:rsid w:val="0040738D"/>
    <w:rsid w:val="0042348E"/>
    <w:rsid w:val="00424385"/>
    <w:rsid w:val="00455297"/>
    <w:rsid w:val="00456235"/>
    <w:rsid w:val="00465D2F"/>
    <w:rsid w:val="00466B40"/>
    <w:rsid w:val="004D0E36"/>
    <w:rsid w:val="004F669A"/>
    <w:rsid w:val="00512B50"/>
    <w:rsid w:val="00526849"/>
    <w:rsid w:val="005436C1"/>
    <w:rsid w:val="00555FB0"/>
    <w:rsid w:val="00571C77"/>
    <w:rsid w:val="00580CF5"/>
    <w:rsid w:val="00587448"/>
    <w:rsid w:val="00593048"/>
    <w:rsid w:val="005B28A6"/>
    <w:rsid w:val="005D4366"/>
    <w:rsid w:val="005E5051"/>
    <w:rsid w:val="00602080"/>
    <w:rsid w:val="00622020"/>
    <w:rsid w:val="00622E6E"/>
    <w:rsid w:val="0068303E"/>
    <w:rsid w:val="006907C5"/>
    <w:rsid w:val="006B65BA"/>
    <w:rsid w:val="006D3394"/>
    <w:rsid w:val="006E0F1D"/>
    <w:rsid w:val="006F7685"/>
    <w:rsid w:val="00721565"/>
    <w:rsid w:val="007329C7"/>
    <w:rsid w:val="007414A3"/>
    <w:rsid w:val="00742196"/>
    <w:rsid w:val="00756BF1"/>
    <w:rsid w:val="00772178"/>
    <w:rsid w:val="007724D8"/>
    <w:rsid w:val="00775048"/>
    <w:rsid w:val="007A2B9C"/>
    <w:rsid w:val="007A3FC6"/>
    <w:rsid w:val="007A7B39"/>
    <w:rsid w:val="007B0504"/>
    <w:rsid w:val="007C1A6A"/>
    <w:rsid w:val="007C4F3A"/>
    <w:rsid w:val="007E1DA0"/>
    <w:rsid w:val="007F6E05"/>
    <w:rsid w:val="00802694"/>
    <w:rsid w:val="00813A39"/>
    <w:rsid w:val="0082784E"/>
    <w:rsid w:val="00834E18"/>
    <w:rsid w:val="0083503E"/>
    <w:rsid w:val="00836F07"/>
    <w:rsid w:val="00860BFF"/>
    <w:rsid w:val="0086208D"/>
    <w:rsid w:val="00875743"/>
    <w:rsid w:val="0089105C"/>
    <w:rsid w:val="008A02AF"/>
    <w:rsid w:val="008B47CB"/>
    <w:rsid w:val="008C34C5"/>
    <w:rsid w:val="008C36FA"/>
    <w:rsid w:val="008C4503"/>
    <w:rsid w:val="008E41CD"/>
    <w:rsid w:val="0090478A"/>
    <w:rsid w:val="00916865"/>
    <w:rsid w:val="00921ADF"/>
    <w:rsid w:val="00934B46"/>
    <w:rsid w:val="0096284D"/>
    <w:rsid w:val="00963139"/>
    <w:rsid w:val="009634D7"/>
    <w:rsid w:val="009851A6"/>
    <w:rsid w:val="00991CF6"/>
    <w:rsid w:val="009B7B08"/>
    <w:rsid w:val="009C52B7"/>
    <w:rsid w:val="009C7DEC"/>
    <w:rsid w:val="009E11A2"/>
    <w:rsid w:val="009E24EE"/>
    <w:rsid w:val="009E7A93"/>
    <w:rsid w:val="009F7865"/>
    <w:rsid w:val="00A15F40"/>
    <w:rsid w:val="00A244B6"/>
    <w:rsid w:val="00A24BAD"/>
    <w:rsid w:val="00A30197"/>
    <w:rsid w:val="00A31B5B"/>
    <w:rsid w:val="00A4175E"/>
    <w:rsid w:val="00A537CE"/>
    <w:rsid w:val="00A75B62"/>
    <w:rsid w:val="00A76B24"/>
    <w:rsid w:val="00A93CB7"/>
    <w:rsid w:val="00A93E8F"/>
    <w:rsid w:val="00AB490C"/>
    <w:rsid w:val="00AB6736"/>
    <w:rsid w:val="00B050EC"/>
    <w:rsid w:val="00B124B5"/>
    <w:rsid w:val="00B31525"/>
    <w:rsid w:val="00B412D1"/>
    <w:rsid w:val="00B84735"/>
    <w:rsid w:val="00B91E61"/>
    <w:rsid w:val="00B97F95"/>
    <w:rsid w:val="00BB3EE2"/>
    <w:rsid w:val="00BB51BB"/>
    <w:rsid w:val="00BC2ED7"/>
    <w:rsid w:val="00BC3BB9"/>
    <w:rsid w:val="00BF4908"/>
    <w:rsid w:val="00C041AE"/>
    <w:rsid w:val="00C222EF"/>
    <w:rsid w:val="00C62FD4"/>
    <w:rsid w:val="00C64589"/>
    <w:rsid w:val="00C64A85"/>
    <w:rsid w:val="00C82FB6"/>
    <w:rsid w:val="00C8328B"/>
    <w:rsid w:val="00C96515"/>
    <w:rsid w:val="00CA5969"/>
    <w:rsid w:val="00CD0A86"/>
    <w:rsid w:val="00CE6EC3"/>
    <w:rsid w:val="00CE7589"/>
    <w:rsid w:val="00CF1F9A"/>
    <w:rsid w:val="00D00D64"/>
    <w:rsid w:val="00D00EBB"/>
    <w:rsid w:val="00D0135F"/>
    <w:rsid w:val="00D143EC"/>
    <w:rsid w:val="00D3324F"/>
    <w:rsid w:val="00D7354F"/>
    <w:rsid w:val="00D76E01"/>
    <w:rsid w:val="00DA190E"/>
    <w:rsid w:val="00DB209E"/>
    <w:rsid w:val="00DE4B97"/>
    <w:rsid w:val="00DE7749"/>
    <w:rsid w:val="00DF4FDD"/>
    <w:rsid w:val="00DF7B77"/>
    <w:rsid w:val="00E01684"/>
    <w:rsid w:val="00E46829"/>
    <w:rsid w:val="00E745B4"/>
    <w:rsid w:val="00E820D7"/>
    <w:rsid w:val="00E96B8F"/>
    <w:rsid w:val="00EA274B"/>
    <w:rsid w:val="00EB2146"/>
    <w:rsid w:val="00EB2F7A"/>
    <w:rsid w:val="00EC32D9"/>
    <w:rsid w:val="00ED2CB6"/>
    <w:rsid w:val="00ED5043"/>
    <w:rsid w:val="00EE2232"/>
    <w:rsid w:val="00F0410D"/>
    <w:rsid w:val="00F17889"/>
    <w:rsid w:val="00F2628E"/>
    <w:rsid w:val="00F27E8E"/>
    <w:rsid w:val="00F4179B"/>
    <w:rsid w:val="00F46130"/>
    <w:rsid w:val="00F76F5F"/>
    <w:rsid w:val="00FA4617"/>
    <w:rsid w:val="00FA4BA5"/>
    <w:rsid w:val="00FA5C16"/>
    <w:rsid w:val="00FA5C8F"/>
    <w:rsid w:val="00FC6433"/>
    <w:rsid w:val="00FD4EED"/>
    <w:rsid w:val="00FE1F72"/>
    <w:rsid w:val="00FF1D31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5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B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C36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36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36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36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36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5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B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C36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36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36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36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36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7A27-F996-427F-8828-0888BC07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imbian lab</cp:lastModifiedBy>
  <cp:revision>21</cp:revision>
  <cp:lastPrinted>2023-01-25T10:29:00Z</cp:lastPrinted>
  <dcterms:created xsi:type="dcterms:W3CDTF">2023-03-23T05:16:00Z</dcterms:created>
  <dcterms:modified xsi:type="dcterms:W3CDTF">2023-08-14T10:53:00Z</dcterms:modified>
</cp:coreProperties>
</file>